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0E50" w14:textId="77777777" w:rsidR="0067296D" w:rsidRPr="0067296D" w:rsidRDefault="0067296D" w:rsidP="0067296D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Evidence </w:t>
      </w:r>
      <w:proofErr w:type="spellStart"/>
      <w:r w:rsidRPr="00672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based</w:t>
      </w:r>
      <w:proofErr w:type="spellEnd"/>
      <w:r w:rsidRPr="00672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principles</w:t>
      </w:r>
      <w:proofErr w:type="spellEnd"/>
      <w:r w:rsidRPr="00672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 and return to </w:t>
      </w:r>
      <w:proofErr w:type="spellStart"/>
      <w:r w:rsidRPr="00672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play</w:t>
      </w:r>
      <w:proofErr w:type="spellEnd"/>
      <w:r w:rsidRPr="006729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-criteria.</w:t>
      </w:r>
    </w:p>
    <w:p w14:paraId="63C5E8DB" w14:textId="77777777" w:rsidR="0067296D" w:rsidRPr="0067296D" w:rsidRDefault="0067296D" w:rsidP="0067296D">
      <w:pPr>
        <w:spacing w:before="150" w:after="15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3A82F293" w14:textId="77777777" w:rsidR="0067296D" w:rsidRPr="0067296D" w:rsidRDefault="0067296D" w:rsidP="0067296D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 deze uitermate praktijkgerichte cursus starten we met het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summier aanhalen van de belangrijkste theoretische principes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 waarop revalidatie van het onderste lidmaat gebaseerd is. Concreet komen hierbij volgende pathologieën aan bod:</w:t>
      </w:r>
    </w:p>
    <w:p w14:paraId="4CA0C326" w14:textId="77777777" w:rsidR="0067296D" w:rsidRPr="0067296D" w:rsidRDefault="0067296D" w:rsidP="0067296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Voorste kruisbandletsels</w:t>
      </w:r>
    </w:p>
    <w:p w14:paraId="4E6B6929" w14:textId="77777777" w:rsidR="0067296D" w:rsidRPr="0067296D" w:rsidRDefault="0067296D" w:rsidP="0067296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Chronisch functionele enkelinstabiliteit</w:t>
      </w:r>
    </w:p>
    <w:p w14:paraId="09AE3A5E" w14:textId="77777777" w:rsidR="0067296D" w:rsidRPr="0067296D" w:rsidRDefault="0067296D" w:rsidP="0067296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Algemene principes bij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tendinopathieën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ter hoogte van het onderste lidmaat (zoals hamstrings-, adductoren-,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patellapees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- en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achillespeestendinopathie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)</w:t>
      </w:r>
    </w:p>
    <w:p w14:paraId="7C01CDE9" w14:textId="0551577B" w:rsidR="0067296D" w:rsidRPr="0067296D" w:rsidRDefault="0067296D" w:rsidP="0067296D">
      <w:pPr>
        <w:spacing w:before="150" w:after="15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</w:p>
    <w:p w14:paraId="6C455276" w14:textId="77777777" w:rsidR="0067296D" w:rsidRPr="0067296D" w:rsidRDefault="0067296D" w:rsidP="0067296D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67296D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Inhoud/Content</w:t>
      </w:r>
    </w:p>
    <w:p w14:paraId="3A796B95" w14:textId="77777777" w:rsidR="0067296D" w:rsidRPr="0067296D" w:rsidRDefault="0067296D" w:rsidP="0067296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nl-BE"/>
        </w:rPr>
        <w:t>Belangrijke informatie voor de cursisten: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 het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overwicht (</w:t>
      </w:r>
      <w:proofErr w:type="gramStart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circa</w:t>
      </w:r>
      <w:proofErr w:type="gramEnd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75%)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 van de cursustijd wordt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gespendeerd aan praktische toepassingen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 Dit onderdeel bestaat uit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2 hoofdaspecten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</w:t>
      </w:r>
    </w:p>
    <w:p w14:paraId="5F211090" w14:textId="77777777" w:rsidR="0067296D" w:rsidRPr="0067296D" w:rsidRDefault="0067296D" w:rsidP="006729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Enerzijds demonstreren de docenten een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aantal belangrijke, actieve oefenstrategieën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 die vanuit het recente wetenschappelijke onderzoek naar voor worden geschoven. Concreet voorbeeld: de rol van excentrisch trainen bij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tendinopathie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/elongatie van mm. hamstrings en adductoren.</w:t>
      </w:r>
    </w:p>
    <w:p w14:paraId="12855190" w14:textId="77777777" w:rsidR="0067296D" w:rsidRPr="0067296D" w:rsidRDefault="0067296D" w:rsidP="006729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Het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zwaartepunt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 echter van het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hele praktijkdeel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 bestaat uit het overlopen van een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functionele en wetenschappelijk onderbouwde testbatterij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 die kan worden gebruikt in de beslissing wat betreft return to sport/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play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/performance bij de hogergenoemde pathologieën en in het bijzonder bij letsels van de voorste kruisband.</w:t>
      </w:r>
    </w:p>
    <w:p w14:paraId="1F96AE59" w14:textId="77777777" w:rsidR="0067296D" w:rsidRPr="0067296D" w:rsidRDefault="0067296D" w:rsidP="0067296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Deelnemers worden verwacht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actief aan de beide onderdelen</w:t>
      </w: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 (oefenstrategieën en testbatterij) deel te nemen zodat ze zelf op een adequate manier kunnen aanvoelen en inschatten wat het betekent om actief en sportgericht te revalideren.</w:t>
      </w:r>
    </w:p>
    <w:p w14:paraId="72AB462D" w14:textId="77777777" w:rsidR="0067296D" w:rsidRPr="0067296D" w:rsidRDefault="0067296D" w:rsidP="0067296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De aangeboden revalidatiestrategieën en testbatterij zijn door de cursist direct implementeerbaar in zijn of haar eigen dagdagelijkse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prakijksetting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en hoeven in essentie géén aanvullende vervolmaking.</w:t>
      </w:r>
    </w:p>
    <w:p w14:paraId="2FB00EE1" w14:textId="77777777" w:rsidR="0067296D" w:rsidRPr="0067296D" w:rsidRDefault="0067296D" w:rsidP="0067296D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67296D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Doelstellingen/</w:t>
      </w:r>
      <w:proofErr w:type="spellStart"/>
      <w:r w:rsidRPr="0067296D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Objectives</w:t>
      </w:r>
      <w:proofErr w:type="spellEnd"/>
    </w:p>
    <w:p w14:paraId="1037A230" w14:textId="77777777" w:rsidR="0067296D" w:rsidRPr="0067296D" w:rsidRDefault="0067296D" w:rsidP="0067296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BE"/>
        </w:rPr>
        <w:t>Concrete doelstelling /leerdoelen:</w:t>
      </w:r>
    </w:p>
    <w:p w14:paraId="4155B3C0" w14:textId="77777777" w:rsidR="0067296D" w:rsidRPr="0067296D" w:rsidRDefault="0067296D" w:rsidP="0067296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Kennis verwerven van de meest relevante en sportgerichte pathologie ter hoogte van het onderste lidmaat bij een sportieve populatie.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Documentering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aan de hand van belangrijke en internationaal toonaangevende literatuurstudies, praktijkervaringen en eigen fundamenteel onderzoek (doctoraatsthesis).</w:t>
      </w:r>
    </w:p>
    <w:p w14:paraId="0FDD9BF4" w14:textId="77777777" w:rsidR="0067296D" w:rsidRPr="0067296D" w:rsidRDefault="0067296D" w:rsidP="0067296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Kennis verwerven van wetenschappelijk onderbouwde oefenstrategieën in relatie tot de aangeboden pathologieën.</w:t>
      </w:r>
    </w:p>
    <w:p w14:paraId="43B492E4" w14:textId="77777777" w:rsidR="0067296D" w:rsidRPr="0067296D" w:rsidRDefault="0067296D" w:rsidP="0067296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Kennis verwerven van wetenschappelijk onderbouwde teststrategieën in relatie tot de aangeboden pathologieën.</w:t>
      </w:r>
    </w:p>
    <w:p w14:paraId="017417F6" w14:textId="77777777" w:rsidR="0067296D" w:rsidRPr="0067296D" w:rsidRDefault="0067296D" w:rsidP="0067296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Zelf actief inoefenen en aanvoelen van de aangeboden oefenstof, inclusief return to sport/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play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/performance.</w:t>
      </w:r>
    </w:p>
    <w:p w14:paraId="5DC7F7C1" w14:textId="77777777" w:rsidR="0067296D" w:rsidRPr="0067296D" w:rsidRDefault="0067296D" w:rsidP="0067296D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pict w14:anchorId="718FED56">
          <v:rect id="_x0000_i1025" style="width:0;height:0" o:hralign="center" o:hrstd="t" o:hr="t" fillcolor="#a0a0a0" stroked="f"/>
        </w:pict>
      </w:r>
    </w:p>
    <w:p w14:paraId="5B789A94" w14:textId="77777777" w:rsidR="0067296D" w:rsidRPr="0067296D" w:rsidRDefault="0067296D" w:rsidP="0067296D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BE"/>
        </w:rPr>
        <w:t>Literatuur (niet exclusief):</w:t>
      </w:r>
    </w:p>
    <w:p w14:paraId="3CCF018C" w14:textId="77777777" w:rsidR="0067296D" w:rsidRPr="0067296D" w:rsidRDefault="0067296D" w:rsidP="0067296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Return to Sport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After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Criteria-Based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Rehabilitation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Acute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Adductor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Injuries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in Male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Athletes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The </w:t>
      </w:r>
      <w:proofErr w:type="spellStart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orthopaedic</w:t>
      </w:r>
      <w:proofErr w:type="spellEnd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journal</w:t>
      </w:r>
      <w:proofErr w:type="spellEnd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of </w:t>
      </w:r>
      <w:proofErr w:type="spellStart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medicine</w:t>
      </w:r>
      <w:proofErr w:type="spellEnd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(2020).</w:t>
      </w:r>
    </w:p>
    <w:p w14:paraId="6C7B3345" w14:textId="77777777" w:rsidR="0067296D" w:rsidRPr="0067296D" w:rsidRDefault="0067296D" w:rsidP="0067296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Likelihood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</w:t>
      </w:r>
      <w:proofErr w:type="gram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ACL graft</w:t>
      </w:r>
      <w:proofErr w:type="gram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rupture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not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meeting six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clinical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discharge criteria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before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return to sport is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associated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four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times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greater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risk of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rupture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 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British Journal of </w:t>
      </w:r>
      <w:proofErr w:type="spellStart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Medicine (2016)</w:t>
      </w:r>
    </w:p>
    <w:p w14:paraId="4D6ACEFC" w14:textId="77777777" w:rsidR="0067296D" w:rsidRPr="0067296D" w:rsidRDefault="0067296D" w:rsidP="0067296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Criteria for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Progressing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Rehabilitation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Determining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Return-to-Play Clearance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Following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Hamstring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Strain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Injury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Systematic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Review.</w:t>
      </w:r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 </w:t>
      </w:r>
      <w:proofErr w:type="spellStart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Medicine (2017)</w:t>
      </w:r>
    </w:p>
    <w:p w14:paraId="15936933" w14:textId="77777777" w:rsidR="0067296D" w:rsidRPr="0067296D" w:rsidRDefault="0067296D" w:rsidP="0067296D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Criteria-Based Return to Sport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Decision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-Making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Following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Lateral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Ankle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Sprain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Injury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Systematic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 and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Narrative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Synthesis</w:t>
      </w:r>
      <w:proofErr w:type="spellEnd"/>
      <w:r w:rsidRPr="006729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 </w:t>
      </w:r>
      <w:proofErr w:type="spellStart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  <w:r w:rsidRPr="0067296D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  <w:t xml:space="preserve"> Medicine (2019)</w:t>
      </w:r>
    </w:p>
    <w:p w14:paraId="53378039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1088"/>
    <w:multiLevelType w:val="multilevel"/>
    <w:tmpl w:val="A9D2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61744"/>
    <w:multiLevelType w:val="multilevel"/>
    <w:tmpl w:val="6EB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95D94"/>
    <w:multiLevelType w:val="multilevel"/>
    <w:tmpl w:val="87D8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743AB"/>
    <w:multiLevelType w:val="multilevel"/>
    <w:tmpl w:val="54E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6D"/>
    <w:rsid w:val="0067296D"/>
    <w:rsid w:val="008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DED7"/>
  <w15:chartTrackingRefBased/>
  <w15:docId w15:val="{0B346753-4B5B-4CAF-A426-42EADFEA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2021-12-02T14:57:00Z</dcterms:created>
  <dcterms:modified xsi:type="dcterms:W3CDTF">2021-12-02T14:58:00Z</dcterms:modified>
</cp:coreProperties>
</file>